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Osnovna škola „</w:t>
      </w:r>
      <w:proofErr w:type="spellStart"/>
      <w:r>
        <w:rPr>
          <w:rFonts w:ascii="Calibri Light" w:hAnsi="Calibri Light"/>
          <w:sz w:val="22"/>
          <w:szCs w:val="22"/>
        </w:rPr>
        <w:t>GustavKrklec</w:t>
      </w:r>
      <w:proofErr w:type="spellEnd"/>
      <w:r>
        <w:rPr>
          <w:rFonts w:ascii="Calibri Light" w:hAnsi="Calibri Light"/>
          <w:sz w:val="22"/>
          <w:szCs w:val="22"/>
        </w:rPr>
        <w:t>” Maruševec</w:t>
      </w:r>
    </w:p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Čalinec</w:t>
      </w:r>
      <w:proofErr w:type="spellEnd"/>
      <w:r>
        <w:rPr>
          <w:rFonts w:ascii="Calibri Light" w:hAnsi="Calibri Light"/>
          <w:sz w:val="22"/>
          <w:szCs w:val="22"/>
        </w:rPr>
        <w:t xml:space="preserve"> 78</w:t>
      </w:r>
    </w:p>
    <w:p w:rsidR="00466ACC" w:rsidRDefault="00862F2E">
      <w:pPr>
        <w:jc w:val="both"/>
      </w:pPr>
      <w:r>
        <w:rPr>
          <w:rFonts w:ascii="Calibri Light" w:hAnsi="Calibri Light"/>
          <w:sz w:val="22"/>
          <w:szCs w:val="22"/>
        </w:rPr>
        <w:t>42243 Maruševec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KLASA: </w:t>
      </w:r>
      <w:r w:rsidR="00141E9F">
        <w:rPr>
          <w:rFonts w:ascii="Calibri Light" w:hAnsi="Calibri Light"/>
          <w:sz w:val="22"/>
          <w:szCs w:val="22"/>
        </w:rPr>
        <w:t>112-01/20-01/2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URBROJ:</w:t>
      </w:r>
      <w:r w:rsidR="00141E9F">
        <w:rPr>
          <w:rFonts w:ascii="Calibri Light" w:hAnsi="Calibri Light"/>
          <w:sz w:val="22"/>
          <w:szCs w:val="22"/>
        </w:rPr>
        <w:t>2186-127-01-20-</w:t>
      </w:r>
      <w:r w:rsidR="00746E3A">
        <w:rPr>
          <w:rFonts w:ascii="Calibri Light" w:hAnsi="Calibri Light"/>
          <w:sz w:val="22"/>
          <w:szCs w:val="22"/>
        </w:rPr>
        <w:t>6</w:t>
      </w:r>
    </w:p>
    <w:p w:rsidR="00466ACC" w:rsidRDefault="00862F2E">
      <w:pPr>
        <w:jc w:val="both"/>
      </w:pPr>
      <w:proofErr w:type="spellStart"/>
      <w:r>
        <w:rPr>
          <w:rFonts w:ascii="Calibri Light" w:hAnsi="Calibri Light"/>
          <w:sz w:val="22"/>
          <w:szCs w:val="22"/>
        </w:rPr>
        <w:t>Čalinec</w:t>
      </w:r>
      <w:proofErr w:type="spellEnd"/>
      <w:r>
        <w:rPr>
          <w:rFonts w:ascii="Calibri Light" w:hAnsi="Calibri Light"/>
          <w:sz w:val="22"/>
          <w:szCs w:val="22"/>
        </w:rPr>
        <w:t xml:space="preserve">, </w:t>
      </w:r>
      <w:r w:rsidR="00746E3A">
        <w:rPr>
          <w:rFonts w:ascii="Calibri Light" w:hAnsi="Calibri Light"/>
          <w:sz w:val="22"/>
          <w:szCs w:val="22"/>
        </w:rPr>
        <w:t>28.2.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2020.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                        </w:t>
      </w:r>
    </w:p>
    <w:p w:rsidR="00466ACC" w:rsidRDefault="00862F2E">
      <w:pPr>
        <w:jc w:val="both"/>
      </w:pPr>
      <w:r>
        <w:rPr>
          <w:rFonts w:ascii="Calibri Light" w:hAnsi="Calibri Light"/>
          <w:b/>
          <w:sz w:val="22"/>
          <w:szCs w:val="22"/>
        </w:rPr>
        <w:t xml:space="preserve">    </w:t>
      </w:r>
      <w:r>
        <w:rPr>
          <w:rFonts w:ascii="Calibri Light" w:hAnsi="Calibri Light"/>
          <w:sz w:val="22"/>
          <w:szCs w:val="22"/>
        </w:rPr>
        <w:t xml:space="preserve">          Na temel</w:t>
      </w:r>
      <w:r>
        <w:rPr>
          <w:rFonts w:ascii="Calibri Light" w:hAnsi="Calibri Light"/>
          <w:color w:val="000000"/>
          <w:sz w:val="22"/>
          <w:szCs w:val="22"/>
        </w:rPr>
        <w:t>ju članka 7. Pravilnika o načinu i postupku zapošljavanja u Osnovnoj školi „Gustav Krklec” Maruševec, a vezano uz raspisani natječaj (KLASA: 112-01/20-04/2 URBROJ: 2186-127-01-01-20-1) od 20.2.2020. za zasnivanje radnog odnosa na radnom mjestu učitelj/</w:t>
      </w:r>
      <w:proofErr w:type="spellStart"/>
      <w:r>
        <w:rPr>
          <w:rFonts w:ascii="Calibri Light" w:hAnsi="Calibri Light"/>
          <w:color w:val="000000"/>
          <w:sz w:val="22"/>
          <w:szCs w:val="22"/>
        </w:rPr>
        <w:t>ica</w:t>
      </w:r>
      <w:proofErr w:type="spellEnd"/>
      <w:r>
        <w:rPr>
          <w:rFonts w:ascii="Calibri Light" w:hAnsi="Calibri Light"/>
          <w:color w:val="000000"/>
          <w:sz w:val="22"/>
          <w:szCs w:val="22"/>
        </w:rPr>
        <w:t xml:space="preserve"> razredne nastave, na neodređeno vrijeme, puno radno vrijeme 40 sati tjedno,  Povjerenstvo za vrednovanje kandidata  donosi</w:t>
      </w:r>
    </w:p>
    <w:p w:rsidR="00466ACC" w:rsidRDefault="00466ACC">
      <w:pPr>
        <w:jc w:val="both"/>
        <w:rPr>
          <w:rFonts w:ascii="Calibri Light" w:hAnsi="Calibri Light"/>
          <w:sz w:val="22"/>
          <w:szCs w:val="22"/>
        </w:rPr>
      </w:pPr>
    </w:p>
    <w:p w:rsidR="00466ACC" w:rsidRDefault="00466ACC">
      <w:pPr>
        <w:jc w:val="both"/>
        <w:rPr>
          <w:rFonts w:ascii="Calibri Light" w:hAnsi="Calibri Light"/>
          <w:sz w:val="22"/>
          <w:szCs w:val="22"/>
        </w:rPr>
      </w:pPr>
    </w:p>
    <w:p w:rsidR="00466ACC" w:rsidRDefault="00862F2E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SADRŽAJ I  NAČIN PISMENOG TESTIRANJA,  PRAVNE  I DRUGE  IZVORE  </w:t>
      </w:r>
    </w:p>
    <w:p w:rsidR="00466ACC" w:rsidRDefault="00862F2E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ZA PRIPREMANJE  KANDIDATA ZA PISMENO TESTIRANJE</w:t>
      </w:r>
    </w:p>
    <w:p w:rsidR="00466ACC" w:rsidRDefault="00466ACC">
      <w:pPr>
        <w:jc w:val="both"/>
        <w:rPr>
          <w:rFonts w:ascii="Calibri Light" w:hAnsi="Calibri Light"/>
          <w:b/>
          <w:sz w:val="22"/>
          <w:szCs w:val="22"/>
        </w:rPr>
      </w:pPr>
    </w:p>
    <w:p w:rsidR="00466ACC" w:rsidRDefault="00862F2E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PRAVILA TESTIRANJA:</w:t>
      </w:r>
    </w:p>
    <w:p w:rsidR="00466ACC" w:rsidRDefault="00466ACC">
      <w:pPr>
        <w:jc w:val="both"/>
        <w:rPr>
          <w:rFonts w:ascii="Calibri Light" w:hAnsi="Calibri Light"/>
          <w:b/>
          <w:sz w:val="22"/>
          <w:szCs w:val="22"/>
        </w:rPr>
      </w:pPr>
    </w:p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Sukladno odredbama Pravilnika o načinu i postupku zapošljavanja u Osnovnoj školi „Gustav Krklec” Maruševec, obavit će se provjera znanja i sposobnosti kandidata. 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Provjera se  sastoji  od dva dijela, pisane provjere kandidata  (testiranja) i razgovora (intervjua) kandidata s Povjerenstvom.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Kandidati su obvezni pristupiti provjeri znanja i sposobnosti putem pisanog testiranja. 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Ako kandidat ne pristupi testiranju, smatra se da je povukao prijavu na natječaj.</w:t>
      </w:r>
    </w:p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Kandidati/kinje su dužni ponijeti sa sobom osobnu iskaznicu ili drugu identifikacijsku javnu ispravu na temelju koje se prije testiranja utvrđuje identitet kandidata/kinje.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ili potpune.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Nakon utvrđivanja identiteta kandidatima  Povjerenstvo će podijeliti testove kandidatima.</w:t>
      </w:r>
    </w:p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 zaprimanju testa kandidat je dužan upisati ime i prezime, te zaporku i peteroznamenkasti broj na za to označeno mjesto na testu. </w:t>
      </w:r>
    </w:p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Test se piše isključivo kemijskom olovkom. Test sadrži 10 pitanja.        </w:t>
      </w:r>
    </w:p>
    <w:p w:rsidR="00466ACC" w:rsidRDefault="00862F2E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Za vrijeme testiranja </w:t>
      </w:r>
      <w:r>
        <w:rPr>
          <w:rFonts w:ascii="Calibri Light" w:hAnsi="Calibri Light"/>
          <w:b/>
          <w:sz w:val="22"/>
          <w:szCs w:val="22"/>
        </w:rPr>
        <w:t>nije dopušteno:</w:t>
      </w:r>
    </w:p>
    <w:p w:rsidR="00466ACC" w:rsidRDefault="00862F2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se bilo kakvom literaturom odnosno bilješkama,</w:t>
      </w:r>
    </w:p>
    <w:p w:rsidR="00466ACC" w:rsidRDefault="00862F2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mobitel ili druga komunikacijska sredstva,</w:t>
      </w:r>
    </w:p>
    <w:p w:rsidR="00466ACC" w:rsidRDefault="00862F2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napuštati prostoriju u kojoj se testiranje odvija i</w:t>
      </w:r>
    </w:p>
    <w:p w:rsidR="00466ACC" w:rsidRDefault="00862F2E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razgovarati s ostalim kandidatima/</w:t>
      </w:r>
      <w:proofErr w:type="spellStart"/>
      <w:r>
        <w:rPr>
          <w:rFonts w:ascii="Calibri Light" w:hAnsi="Calibri Light"/>
          <w:sz w:val="22"/>
          <w:szCs w:val="22"/>
        </w:rPr>
        <w:t>kinjama</w:t>
      </w:r>
      <w:proofErr w:type="spellEnd"/>
      <w:r>
        <w:rPr>
          <w:rFonts w:ascii="Calibri Light" w:hAnsi="Calibri Light"/>
          <w:sz w:val="22"/>
          <w:szCs w:val="22"/>
        </w:rPr>
        <w:t xml:space="preserve">.    </w:t>
      </w:r>
    </w:p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Ukoliko kandidat postupi suprotno pravilima testiranja, bit će udaljen s testiranja, a njegov rezultat Povjerenstvo neće priznati niti vrednovati.</w:t>
      </w:r>
    </w:p>
    <w:p w:rsidR="00466ACC" w:rsidRDefault="00862F2E">
      <w:pPr>
        <w:jc w:val="both"/>
      </w:pPr>
      <w:r>
        <w:rPr>
          <w:rFonts w:ascii="Calibri Light" w:hAnsi="Calibri Light"/>
          <w:sz w:val="22"/>
          <w:szCs w:val="22"/>
        </w:rPr>
        <w:t xml:space="preserve">Nakon obavljenog testiranja Povjerenstvo utvrđuje rezultat testiranja za svakog kandidata koji je pristupio testiranju. Pravo na pristup razgovoru s Povjerenstvom ostvaruje kandidat koji je na testu ostvario najmanje 5 bodova od ukupno 10 mogućih bodova. Rezultat testiranja i poziv kandidatima na razgovor (intervju) Povjerenstvo će objaviti na mrežnoj stranici Osnovne škole „Gustav Krklec” </w:t>
      </w:r>
      <w:proofErr w:type="spellStart"/>
      <w:r>
        <w:rPr>
          <w:rFonts w:ascii="Calibri Light" w:hAnsi="Calibri Light"/>
          <w:sz w:val="22"/>
          <w:szCs w:val="22"/>
        </w:rPr>
        <w:t>Maruševec,</w:t>
      </w:r>
      <w:hyperlink r:id="rId5">
        <w:r>
          <w:rPr>
            <w:rStyle w:val="Internetskapoveznica"/>
            <w:rFonts w:ascii="Calibri Light" w:hAnsi="Calibri Light"/>
            <w:sz w:val="22"/>
            <w:szCs w:val="22"/>
          </w:rPr>
          <w:t>http</w:t>
        </w:r>
        <w:proofErr w:type="spellEnd"/>
        <w:r>
          <w:rPr>
            <w:rStyle w:val="Internetskapoveznica"/>
            <w:rFonts w:ascii="Calibri Light" w:hAnsi="Calibri Light"/>
            <w:sz w:val="22"/>
            <w:szCs w:val="22"/>
          </w:rPr>
          <w:t>://os-gkrklec-calinec.skole.hr/</w:t>
        </w:r>
        <w:proofErr w:type="spellStart"/>
        <w:r>
          <w:rPr>
            <w:rStyle w:val="Internetskapoveznica"/>
            <w:rFonts w:ascii="Calibri Light" w:hAnsi="Calibri Light"/>
            <w:sz w:val="22"/>
            <w:szCs w:val="22"/>
          </w:rPr>
          <w:t>natjecaji</w:t>
        </w:r>
        <w:proofErr w:type="spellEnd"/>
      </w:hyperlink>
      <w:r>
        <w:rPr>
          <w:rFonts w:ascii="Calibri Light" w:hAnsi="Calibri Light"/>
          <w:sz w:val="22"/>
          <w:szCs w:val="22"/>
        </w:rPr>
        <w:t xml:space="preserve">, </w:t>
      </w:r>
      <w:hyperlink r:id="rId6">
        <w:r>
          <w:rPr>
            <w:rStyle w:val="ListLabel49"/>
          </w:rPr>
          <w:t>pod vlastito odabranom zaporkom i peteroznamenkastim brojem.</w:t>
        </w:r>
      </w:hyperlink>
    </w:p>
    <w:p w:rsidR="00466ACC" w:rsidRDefault="00466ACC">
      <w:pPr>
        <w:jc w:val="both"/>
        <w:rPr>
          <w:rFonts w:ascii="Calibri Light" w:hAnsi="Calibri Light"/>
          <w:sz w:val="22"/>
          <w:szCs w:val="22"/>
        </w:rPr>
      </w:pPr>
    </w:p>
    <w:p w:rsidR="00466ACC" w:rsidRDefault="00862F2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Pismeno testiranje će trajati 45 minuta.</w:t>
      </w:r>
    </w:p>
    <w:p w:rsidR="00466ACC" w:rsidRDefault="00466ACC">
      <w:pPr>
        <w:jc w:val="both"/>
        <w:rPr>
          <w:sz w:val="20"/>
          <w:szCs w:val="20"/>
        </w:rPr>
      </w:pPr>
    </w:p>
    <w:p w:rsidR="00466ACC" w:rsidRDefault="00466ACC">
      <w:pPr>
        <w:jc w:val="both"/>
        <w:rPr>
          <w:sz w:val="20"/>
          <w:szCs w:val="20"/>
        </w:rPr>
      </w:pPr>
    </w:p>
    <w:p w:rsidR="00466ACC" w:rsidRDefault="00466ACC">
      <w:pPr>
        <w:jc w:val="both"/>
        <w:rPr>
          <w:sz w:val="20"/>
          <w:szCs w:val="20"/>
        </w:rPr>
      </w:pPr>
    </w:p>
    <w:p w:rsidR="00466ACC" w:rsidRDefault="00466ACC">
      <w:pPr>
        <w:jc w:val="both"/>
        <w:rPr>
          <w:rFonts w:ascii="Calibri Light" w:hAnsi="Calibri Light"/>
          <w:sz w:val="22"/>
          <w:szCs w:val="22"/>
        </w:rPr>
      </w:pPr>
    </w:p>
    <w:p w:rsidR="00466ACC" w:rsidRDefault="00862F2E">
      <w:pPr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Pravni i drugi izvori za pripremanje kandidata za testiranje su:</w:t>
      </w:r>
    </w:p>
    <w:p w:rsidR="00466ACC" w:rsidRDefault="00862F2E">
      <w:pPr>
        <w:spacing w:line="276" w:lineRule="auto"/>
      </w:pPr>
      <w:r>
        <w:rPr>
          <w:rFonts w:ascii="Calibri Light" w:hAnsi="Calibri Light" w:cs="Calibri"/>
          <w:sz w:val="22"/>
          <w:szCs w:val="22"/>
        </w:rPr>
        <w:lastRenderedPageBreak/>
        <w:t xml:space="preserve">1. Zakon o odgoju i obrazovanju u osnovnoj i srednjoj školi </w:t>
      </w:r>
      <w:r>
        <w:rPr>
          <w:rFonts w:ascii="Calibri Light" w:hAnsi="Calibri Light" w:cs="Calibri"/>
          <w:bCs/>
          <w:sz w:val="22"/>
          <w:szCs w:val="22"/>
        </w:rPr>
        <w:t xml:space="preserve">(NN 87/08, 86/09, 92/10, 105/10, 90/11, 5/12, 16/12, 86/12, 126/12, 94/13, 152/14, 07/17, 68/18, 98/19) </w:t>
      </w:r>
    </w:p>
    <w:p w:rsidR="00466ACC" w:rsidRDefault="00862F2E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2. </w:t>
      </w:r>
      <w:hyperlink r:id="rId7">
        <w:bookmarkStart w:id="1" w:name="_Hlk33451138"/>
        <w:r>
          <w:rPr>
            <w:rStyle w:val="ListLabel23"/>
            <w:rFonts w:ascii="Calibri Light" w:hAnsi="Calibri Light" w:cs="Calibri"/>
            <w:sz w:val="22"/>
            <w:szCs w:val="22"/>
          </w:rPr>
          <w:t>Pravilnik o izmjenama</w:t>
        </w:r>
      </w:hyperlink>
      <w:hyperlink r:id="rId8">
        <w:bookmarkEnd w:id="1"/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 i dopuni Pravilnika o načinima, postupcima i elementima vrednovanja učenika u osnovnoj i srednjoj školi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 xml:space="preserve"> </w:t>
      </w:r>
      <w:hyperlink r:id="rId9">
        <w:r>
          <w:rPr>
            <w:rStyle w:val="ListLabel23"/>
            <w:rFonts w:ascii="Calibri Light" w:hAnsi="Calibri Light" w:cs="Calibri"/>
            <w:bCs/>
            <w:sz w:val="22"/>
            <w:szCs w:val="22"/>
          </w:rPr>
          <w:t xml:space="preserve">(NN 82/19) </w:t>
        </w:r>
      </w:hyperlink>
    </w:p>
    <w:p w:rsidR="00466ACC" w:rsidRDefault="00862F2E">
      <w:pPr>
        <w:spacing w:line="276" w:lineRule="auto"/>
      </w:pPr>
      <w:r>
        <w:rPr>
          <w:rStyle w:val="ListLabel26"/>
          <w:rFonts w:ascii="Calibri Light" w:hAnsi="Calibri Light" w:cs="Calibri"/>
          <w:sz w:val="22"/>
          <w:szCs w:val="22"/>
          <w:highlight w:val="white"/>
        </w:rPr>
        <w:t xml:space="preserve">3. </w:t>
      </w:r>
      <w:hyperlink r:id="rId10">
        <w:r>
          <w:rPr>
            <w:rStyle w:val="ListLabel26"/>
            <w:rFonts w:ascii="Calibri Light" w:hAnsi="Calibri Light" w:cs="Calibri"/>
            <w:sz w:val="22"/>
            <w:szCs w:val="22"/>
            <w:highlight w:val="white"/>
          </w:rPr>
          <w:t xml:space="preserve">Pravilnik o kriterijima za izricanje pedagoških mjera </w:t>
        </w:r>
      </w:hyperlink>
      <w:r>
        <w:rPr>
          <w:rStyle w:val="ListLabel26"/>
          <w:rFonts w:ascii="Calibri Light" w:hAnsi="Calibri Light" w:cs="Calibri"/>
          <w:bCs/>
          <w:sz w:val="22"/>
          <w:szCs w:val="22"/>
          <w:highlight w:val="white"/>
        </w:rPr>
        <w:t xml:space="preserve">(NN 94/2015) </w:t>
      </w:r>
    </w:p>
    <w:p w:rsidR="00466ACC" w:rsidRDefault="00862F2E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4. </w:t>
      </w:r>
      <w:hyperlink r:id="rId11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 xml:space="preserve">Pravilnik o izmjeni Pravilnika o kriterijima za izricanje pedagoških mjera 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u w:val="none"/>
        </w:rPr>
        <w:t>(NN 3/2017)</w:t>
      </w:r>
    </w:p>
    <w:p w:rsidR="00466ACC" w:rsidRDefault="00862F2E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5. </w:t>
      </w:r>
      <w:hyperlink r:id="rId12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47/2017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>)</w:t>
      </w:r>
    </w:p>
    <w:p w:rsidR="00466ACC" w:rsidRDefault="00862F2E">
      <w:pPr>
        <w:spacing w:line="276" w:lineRule="auto"/>
      </w:pP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 xml:space="preserve">6. Pravilnik o izmjenama i dopunama Pravilnika </w:t>
      </w:r>
      <w:hyperlink r:id="rId13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41/2019, 76/2019)</w:t>
      </w:r>
    </w:p>
    <w:p w:rsidR="00466ACC" w:rsidRDefault="00862F2E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  <w:highlight w:val="white"/>
        </w:rPr>
        <w:t xml:space="preserve">7. </w:t>
      </w:r>
      <w:hyperlink r:id="rId14">
        <w:r>
          <w:rPr>
            <w:rStyle w:val="ListLabel23"/>
            <w:rFonts w:ascii="Calibri Light" w:hAnsi="Calibri Light" w:cs="Calibri"/>
            <w:sz w:val="22"/>
            <w:szCs w:val="22"/>
            <w:highlight w:val="white"/>
          </w:rPr>
          <w:t xml:space="preserve">Pravilnik o načinima, postupcima i elementima vrednovanja učenika u osnovnoj i srednjoj školi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112/10)</w:t>
      </w:r>
    </w:p>
    <w:p w:rsidR="00466ACC" w:rsidRDefault="00862F2E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8. </w:t>
      </w:r>
      <w:hyperlink r:id="rId15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67/14)</w:t>
      </w:r>
    </w:p>
    <w:p w:rsidR="00466ACC" w:rsidRDefault="00862F2E">
      <w:pPr>
        <w:spacing w:after="280" w:line="276" w:lineRule="auto"/>
        <w:jc w:val="both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9. </w:t>
      </w:r>
      <w:hyperlink r:id="rId16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izmjenama i dopunama Pravilnika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81/15)</w:t>
      </w:r>
    </w:p>
    <w:p w:rsidR="00466ACC" w:rsidRDefault="00862F2E">
      <w:pPr>
        <w:spacing w:after="280" w:line="276" w:lineRule="auto"/>
        <w:jc w:val="both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10. </w:t>
      </w:r>
      <w:hyperlink r:id="rId17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načinu postupanja odgojno-obrazovnih radnika školskih ustanova u poduzimanju mjera zaštite prava učenika te prijave svakog kršenja tih prava nadležnim tijelima (NN 132/13)</w:t>
        </w:r>
      </w:hyperlink>
    </w:p>
    <w:p w:rsidR="00466ACC" w:rsidRDefault="00466ACC">
      <w:pPr>
        <w:ind w:left="600"/>
        <w:jc w:val="both"/>
        <w:rPr>
          <w:rFonts w:ascii="Calibri Light" w:hAnsi="Calibri Light"/>
          <w:sz w:val="22"/>
          <w:szCs w:val="22"/>
        </w:rPr>
      </w:pPr>
    </w:p>
    <w:p w:rsidR="00466ACC" w:rsidRDefault="00862F2E">
      <w:pPr>
        <w:ind w:left="600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</w:t>
      </w:r>
    </w:p>
    <w:p w:rsidR="00466ACC" w:rsidRDefault="00862F2E">
      <w:pPr>
        <w:ind w:left="60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      </w:t>
      </w:r>
      <w:r>
        <w:rPr>
          <w:rFonts w:ascii="Calibri Light" w:hAnsi="Calibri Light"/>
          <w:i/>
          <w:iCs/>
          <w:sz w:val="22"/>
          <w:szCs w:val="22"/>
        </w:rPr>
        <w:t>- Povjerenstvo za vrednovanje kandidata</w:t>
      </w:r>
    </w:p>
    <w:p w:rsidR="00466ACC" w:rsidRDefault="00466ACC">
      <w:pPr>
        <w:ind w:left="600"/>
        <w:rPr>
          <w:rFonts w:ascii="Calibri Light" w:hAnsi="Calibri Light"/>
          <w:sz w:val="22"/>
          <w:szCs w:val="22"/>
        </w:rPr>
      </w:pPr>
    </w:p>
    <w:p w:rsidR="00466ACC" w:rsidRDefault="00466ACC">
      <w:pPr>
        <w:ind w:left="600"/>
        <w:rPr>
          <w:rFonts w:ascii="Calibri Light" w:hAnsi="Calibri Light"/>
          <w:sz w:val="22"/>
          <w:szCs w:val="22"/>
        </w:rPr>
      </w:pPr>
    </w:p>
    <w:p w:rsidR="00466ACC" w:rsidRDefault="00466ACC">
      <w:pPr>
        <w:ind w:left="600"/>
        <w:rPr>
          <w:rFonts w:ascii="Calibri Light" w:hAnsi="Calibri Light"/>
          <w:sz w:val="22"/>
          <w:szCs w:val="22"/>
        </w:rPr>
      </w:pPr>
    </w:p>
    <w:p w:rsidR="00466ACC" w:rsidRDefault="00466ACC">
      <w:pPr>
        <w:ind w:left="600"/>
        <w:rPr>
          <w:rFonts w:ascii="Calibri Light" w:hAnsi="Calibri Light"/>
          <w:sz w:val="22"/>
          <w:szCs w:val="22"/>
        </w:rPr>
      </w:pPr>
    </w:p>
    <w:p w:rsidR="00466ACC" w:rsidRDefault="00466ACC">
      <w:pPr>
        <w:ind w:left="600"/>
        <w:rPr>
          <w:rFonts w:ascii="Calibri Light" w:hAnsi="Calibri Light"/>
          <w:sz w:val="22"/>
          <w:szCs w:val="22"/>
        </w:rPr>
      </w:pPr>
    </w:p>
    <w:p w:rsidR="00466ACC" w:rsidRDefault="00466ACC"/>
    <w:sectPr w:rsidR="00466AC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EA9"/>
    <w:multiLevelType w:val="multilevel"/>
    <w:tmpl w:val="EC88B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9D4B22"/>
    <w:multiLevelType w:val="multilevel"/>
    <w:tmpl w:val="320C55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CC"/>
    <w:rsid w:val="00141E9F"/>
    <w:rsid w:val="00466ACC"/>
    <w:rsid w:val="00746E3A"/>
    <w:rsid w:val="008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1FA6-A896-4493-985F-F9B2CF5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AA"/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paragraph" w:styleId="Naslov2">
    <w:name w:val="heading 2"/>
    <w:basedOn w:val="Stilnaslova"/>
    <w:next w:val="Tijeloteksta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B619AA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209A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FF"/>
      <w:sz w:val="20"/>
      <w:szCs w:val="20"/>
      <w:u w:val="single"/>
    </w:rPr>
  </w:style>
  <w:style w:type="character" w:customStyle="1" w:styleId="ListLabel23">
    <w:name w:val="ListLabel 23"/>
    <w:qFormat/>
    <w:rPr>
      <w:rFonts w:eastAsia="Times New Roman" w:cstheme="minorHAnsi"/>
      <w:sz w:val="24"/>
      <w:szCs w:val="24"/>
      <w:lang w:eastAsia="hr-HR"/>
    </w:rPr>
  </w:style>
  <w:style w:type="character" w:customStyle="1" w:styleId="ListLabel36">
    <w:name w:val="ListLabel 36"/>
    <w:qFormat/>
    <w:rPr>
      <w:rFonts w:ascii="Calibri Light" w:eastAsia="Times New Roman" w:hAnsi="Calibri Light" w:cstheme="minorHAnsi"/>
      <w:color w:val="FF0000"/>
      <w:sz w:val="22"/>
      <w:szCs w:val="22"/>
      <w:lang w:eastAsia="hr-HR"/>
    </w:rPr>
  </w:style>
  <w:style w:type="character" w:customStyle="1" w:styleId="ListLabel26">
    <w:name w:val="ListLabel 26"/>
    <w:qFormat/>
  </w:style>
  <w:style w:type="character" w:customStyle="1" w:styleId="ListLabel37">
    <w:name w:val="ListLabel 37"/>
    <w:qFormat/>
    <w:rPr>
      <w:rFonts w:ascii="Calibri Light" w:eastAsia="Times New Roman" w:hAnsi="Calibri Light" w:cstheme="minorHAnsi"/>
      <w:color w:val="FF0000"/>
      <w:sz w:val="22"/>
      <w:szCs w:val="22"/>
      <w:shd w:val="clear" w:color="auto" w:fill="FFFFFF"/>
      <w:lang w:eastAsia="hr-HR"/>
    </w:rPr>
  </w:style>
  <w:style w:type="character" w:customStyle="1" w:styleId="ListLabel38">
    <w:name w:val="ListLabel 38"/>
    <w:qFormat/>
    <w:rPr>
      <w:rFonts w:ascii="Calibri Light" w:hAnsi="Calibri Light" w:cstheme="minorHAnsi"/>
      <w:color w:val="FF0000"/>
      <w:sz w:val="22"/>
      <w:szCs w:val="22"/>
      <w:highlight w:val="white"/>
      <w:u w:val="none"/>
    </w:rPr>
  </w:style>
  <w:style w:type="character" w:customStyle="1" w:styleId="ListLabel39">
    <w:name w:val="ListLabel 39"/>
    <w:qFormat/>
    <w:rPr>
      <w:rFonts w:ascii="Calibri Light" w:hAnsi="Calibri Light" w:cs="Times New Roman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49">
    <w:name w:val="ListLabel 49"/>
    <w:qFormat/>
    <w:rPr>
      <w:rFonts w:ascii="Calibri Light" w:hAnsi="Calibri Light"/>
      <w:sz w:val="22"/>
      <w:szCs w:val="22"/>
    </w:rPr>
  </w:style>
  <w:style w:type="character" w:customStyle="1" w:styleId="ListLabel50">
    <w:name w:val="ListLabel 5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51">
    <w:name w:val="ListLabel 5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52">
    <w:name w:val="ListLabel 52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53">
    <w:name w:val="ListLabel 53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54">
    <w:name w:val="ListLabel 54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55">
    <w:name w:val="ListLabel 55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56">
    <w:name w:val="ListLabel 56"/>
    <w:qFormat/>
    <w:rPr>
      <w:rFonts w:ascii="Calibri Light" w:hAnsi="Calibri Light" w:cs="Times New Roman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66">
    <w:name w:val="ListLabel 66"/>
    <w:qFormat/>
    <w:rPr>
      <w:rFonts w:ascii="Calibri Light" w:hAnsi="Calibri Light"/>
      <w:sz w:val="22"/>
      <w:szCs w:val="22"/>
    </w:rPr>
  </w:style>
  <w:style w:type="character" w:customStyle="1" w:styleId="ListLabel67">
    <w:name w:val="ListLabel 67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68">
    <w:name w:val="ListLabel 6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69">
    <w:name w:val="ListLabel 69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70">
    <w:name w:val="ListLabel 70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71">
    <w:name w:val="ListLabel 71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72">
    <w:name w:val="ListLabel 72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73">
    <w:name w:val="ListLabel 73"/>
    <w:qFormat/>
    <w:rPr>
      <w:rFonts w:ascii="Calibri Light" w:hAnsi="Calibri Light" w:cs="Times New Roman"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83">
    <w:name w:val="ListLabel 83"/>
    <w:qFormat/>
    <w:rPr>
      <w:rFonts w:ascii="Calibri Light" w:hAnsi="Calibri Light"/>
      <w:sz w:val="22"/>
      <w:szCs w:val="22"/>
    </w:rPr>
  </w:style>
  <w:style w:type="character" w:customStyle="1" w:styleId="ListLabel84">
    <w:name w:val="ListLabel 8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85">
    <w:name w:val="ListLabel 8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86">
    <w:name w:val="ListLabel 86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87">
    <w:name w:val="ListLabel 87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88">
    <w:name w:val="ListLabel 88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89">
    <w:name w:val="ListLabel 89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90">
    <w:name w:val="ListLabel 90"/>
    <w:qFormat/>
    <w:rPr>
      <w:rFonts w:ascii="Calibri Light" w:hAnsi="Calibri Light" w:cs="Times New Roman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00">
    <w:name w:val="ListLabel 100"/>
    <w:qFormat/>
    <w:rPr>
      <w:rFonts w:ascii="Calibri Light" w:hAnsi="Calibri Light"/>
      <w:sz w:val="22"/>
      <w:szCs w:val="22"/>
    </w:rPr>
  </w:style>
  <w:style w:type="character" w:customStyle="1" w:styleId="ListLabel101">
    <w:name w:val="ListLabel 10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02">
    <w:name w:val="ListLabel 102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03">
    <w:name w:val="ListLabel 103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04">
    <w:name w:val="ListLabel 104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05">
    <w:name w:val="ListLabel 105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06">
    <w:name w:val="ListLabel 106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107">
    <w:name w:val="ListLabel 107"/>
    <w:qFormat/>
    <w:rPr>
      <w:rFonts w:ascii="Calibri Light" w:hAnsi="Calibri Light" w:cs="Times New Roman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 Light" w:hAnsi="Calibri Light"/>
      <w:sz w:val="22"/>
      <w:szCs w:val="22"/>
    </w:rPr>
  </w:style>
  <w:style w:type="character" w:customStyle="1" w:styleId="ListLabel117">
    <w:name w:val="ListLabel 117"/>
    <w:qFormat/>
    <w:rPr>
      <w:rFonts w:ascii="Calibri Light" w:hAnsi="Calibri Light"/>
      <w:sz w:val="22"/>
      <w:szCs w:val="22"/>
    </w:rPr>
  </w:style>
  <w:style w:type="character" w:customStyle="1" w:styleId="ListLabel118">
    <w:name w:val="ListLabel 11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19">
    <w:name w:val="ListLabel 119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20">
    <w:name w:val="ListLabel 120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21">
    <w:name w:val="ListLabel 121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22">
    <w:name w:val="ListLabel 122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23">
    <w:name w:val="ListLabel 123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272">
    <w:name w:val="ListLabel 272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71">
    <w:name w:val="ListLabel 271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70">
    <w:name w:val="ListLabel 270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69">
    <w:name w:val="ListLabel 269"/>
    <w:qFormat/>
    <w:rPr>
      <w:rFonts w:ascii="Calibri Light" w:hAnsi="Calibri Light" w:cs="Calibri"/>
      <w:bCs/>
      <w:sz w:val="22"/>
      <w:szCs w:val="22"/>
    </w:rPr>
  </w:style>
  <w:style w:type="character" w:customStyle="1" w:styleId="ListLabel268">
    <w:name w:val="ListLabel 268"/>
    <w:qFormat/>
    <w:rPr>
      <w:rFonts w:ascii="Calibri Light" w:hAnsi="Calibri Light" w:cs="Calibri"/>
      <w:sz w:val="22"/>
      <w:szCs w:val="22"/>
    </w:rPr>
  </w:style>
  <w:style w:type="character" w:customStyle="1" w:styleId="ListLabel267">
    <w:name w:val="ListLabel 267"/>
    <w:qFormat/>
    <w:rPr>
      <w:rFonts w:ascii="Calibri Light" w:hAnsi="Calibri Light"/>
      <w:color w:val="3465A4"/>
      <w:sz w:val="22"/>
      <w:szCs w:val="22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ascii="Calibri Light" w:hAnsi="Calibri Light" w:cs="Times New Roman"/>
      <w:sz w:val="22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ascii="Calibri Light" w:hAnsi="Calibri Light" w:cs="Times New Roman"/>
      <w:sz w:val="22"/>
    </w:rPr>
  </w:style>
  <w:style w:type="character" w:customStyle="1" w:styleId="ListLabel248">
    <w:name w:val="ListLabel 248"/>
    <w:qFormat/>
    <w:rPr>
      <w:rFonts w:ascii="Calibri" w:hAnsi="Calibri" w:cs="Calibri"/>
      <w:color w:val="auto"/>
      <w:highlight w:val="white"/>
    </w:rPr>
  </w:style>
  <w:style w:type="character" w:customStyle="1" w:styleId="ListLabel247">
    <w:name w:val="ListLabel 247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6">
    <w:name w:val="ListLabel 246"/>
    <w:qFormat/>
    <w:rPr>
      <w:rFonts w:ascii="Calibri" w:hAnsi="Calibri" w:cs="Calibri"/>
      <w:color w:val="auto"/>
      <w:sz w:val="22"/>
      <w:szCs w:val="22"/>
      <w:highlight w:val="white"/>
      <w:u w:val="none"/>
    </w:rPr>
  </w:style>
  <w:style w:type="character" w:customStyle="1" w:styleId="ListLabel245">
    <w:name w:val="ListLabel 245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4">
    <w:name w:val="ListLabel 244"/>
    <w:qFormat/>
    <w:rPr>
      <w:rFonts w:ascii="Calibri" w:hAnsi="Calibri" w:cs="Calibri"/>
      <w:bCs/>
      <w:sz w:val="22"/>
      <w:szCs w:val="22"/>
    </w:rPr>
  </w:style>
  <w:style w:type="character" w:customStyle="1" w:styleId="ListLabel243">
    <w:name w:val="ListLabel 243"/>
    <w:qFormat/>
    <w:rPr>
      <w:rFonts w:ascii="Calibri" w:hAnsi="Calibri" w:cs="Calibri"/>
      <w:sz w:val="22"/>
      <w:szCs w:val="22"/>
    </w:rPr>
  </w:style>
  <w:style w:type="character" w:customStyle="1" w:styleId="ListLabel242">
    <w:name w:val="ListLabel 242"/>
    <w:qFormat/>
    <w:rPr>
      <w:rFonts w:ascii="Calibri Light" w:hAnsi="Calibri Light"/>
      <w:color w:val="3465A4"/>
      <w:sz w:val="22"/>
      <w:szCs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38">
    <w:name w:val="ListLabel 238"/>
    <w:qFormat/>
    <w:rPr>
      <w:rFonts w:eastAsia="Calibri" w:cs="Calibri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29">
    <w:name w:val="ListLabel 229"/>
    <w:qFormat/>
    <w:rPr>
      <w:rFonts w:cs="Times New Roman"/>
      <w:sz w:val="20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0">
    <w:name w:val="ListLabel 220"/>
    <w:qFormat/>
    <w:rPr>
      <w:rFonts w:ascii="Calibri Light" w:hAnsi="Calibri Light" w:cs="Times New Roman"/>
      <w:sz w:val="22"/>
    </w:rPr>
  </w:style>
  <w:style w:type="character" w:customStyle="1" w:styleId="ListLabel219">
    <w:name w:val="ListLabel 219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218">
    <w:name w:val="ListLabel 218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217">
    <w:name w:val="ListLabel 217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216">
    <w:name w:val="ListLabel 216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15">
    <w:name w:val="ListLabel 215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214">
    <w:name w:val="ListLabel 214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213">
    <w:name w:val="ListLabel 213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212">
    <w:name w:val="ListLabel 212"/>
    <w:qFormat/>
    <w:rPr>
      <w:rFonts w:ascii="Calibri Light" w:hAnsi="Calibri Light"/>
      <w:color w:val="3465A4"/>
      <w:sz w:val="22"/>
      <w:szCs w:val="22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4">
    <w:name w:val="ListLabel 194"/>
    <w:qFormat/>
    <w:rPr>
      <w:rFonts w:ascii="Calibri Light" w:hAnsi="Calibri Light" w:cs="Times New Roman"/>
      <w:sz w:val="22"/>
    </w:rPr>
  </w:style>
  <w:style w:type="character" w:customStyle="1" w:styleId="ListLabel193">
    <w:name w:val="ListLabel 193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92">
    <w:name w:val="ListLabel 192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91">
    <w:name w:val="ListLabel 191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90">
    <w:name w:val="ListLabel 190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89">
    <w:name w:val="ListLabel 189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88">
    <w:name w:val="ListLabel 188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87">
    <w:name w:val="ListLabel 187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86">
    <w:name w:val="ListLabel 186"/>
    <w:qFormat/>
    <w:rPr>
      <w:rFonts w:ascii="Calibri Light" w:hAnsi="Calibri Light"/>
      <w:color w:val="3465A4"/>
      <w:sz w:val="22"/>
      <w:szCs w:val="22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ascii="Calibri Light" w:hAnsi="Calibri Light" w:cs="Times New Roman"/>
      <w:sz w:val="22"/>
    </w:rPr>
  </w:style>
  <w:style w:type="character" w:customStyle="1" w:styleId="ListLabel167">
    <w:name w:val="ListLabel 167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66">
    <w:name w:val="ListLabel 166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65">
    <w:name w:val="ListLabel 165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64">
    <w:name w:val="ListLabel 164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63">
    <w:name w:val="ListLabel 163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62">
    <w:name w:val="ListLabel 162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61">
    <w:name w:val="ListLabel 161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60">
    <w:name w:val="ListLabel 160"/>
    <w:qFormat/>
    <w:rPr>
      <w:rFonts w:ascii="Calibri Light" w:hAnsi="Calibri Light"/>
      <w:color w:val="C9211E"/>
      <w:sz w:val="22"/>
      <w:szCs w:val="22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2">
    <w:name w:val="ListLabel 142"/>
    <w:qFormat/>
    <w:rPr>
      <w:rFonts w:ascii="Calibri Light" w:hAnsi="Calibri Light" w:cs="Times New Roman"/>
      <w:sz w:val="22"/>
    </w:rPr>
  </w:style>
  <w:style w:type="character" w:customStyle="1" w:styleId="ListLabel141">
    <w:name w:val="ListLabel 141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40">
    <w:name w:val="ListLabel 140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39">
    <w:name w:val="ListLabel 139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38">
    <w:name w:val="ListLabel 138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37">
    <w:name w:val="ListLabel 137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36">
    <w:name w:val="ListLabel 136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35">
    <w:name w:val="ListLabel 135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34">
    <w:name w:val="ListLabel 134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5">
    <w:name w:val="ListLabel 125"/>
    <w:qFormat/>
    <w:rPr>
      <w:rFonts w:cs="Times New Roman"/>
      <w:sz w:val="20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28">
    <w:name w:val="ListLabel 28"/>
    <w:qFormat/>
    <w:rPr>
      <w:color w:val="C9211E"/>
      <w:sz w:val="20"/>
      <w:szCs w:val="20"/>
      <w:u w:val="single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9">
    <w:name w:val="ListLabel 9"/>
    <w:qFormat/>
    <w:rPr>
      <w:color w:val="0000FF"/>
      <w:sz w:val="20"/>
      <w:szCs w:val="20"/>
      <w:u w:val="singl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209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userfiles/dokumenti/Pravilnik_o_izmjenama_i_dopuni_Pravilnika.pdf" TargetMode="External"/><Relationship Id="rId13" Type="http://schemas.openxmlformats.org/officeDocument/2006/relationships/hyperlink" Target="https://www.azoo.hr/images/Pravilnik_o_pedagoskoj_dokumentaciji_i_evidenciji_te_javnim_ispravama_u_skolskim_ustanovam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oo.hr/userfiles/dokumenti/Pravilnik_o_izmjenama_i_dopuni_Pravilnika.pdf" TargetMode="External"/><Relationship Id="rId12" Type="http://schemas.openxmlformats.org/officeDocument/2006/relationships/hyperlink" Target="https://www.azoo.hr/images/Pravilnik_o_pedagoskoj_dokumentaciji_i_evidenciji_te_javnim_ispravama_u_skolskim_ustanovama.pdf" TargetMode="External"/><Relationship Id="rId17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-tuzno.skole.hr/informacije/natjecaj" TargetMode="External"/><Relationship Id="rId11" Type="http://schemas.openxmlformats.org/officeDocument/2006/relationships/hyperlink" Target="https://www.azoo.hr/images/stories/Pravilnik_o_izmjeni_Pravilnika_o_kriterijima_za_izricanje_pedagoskih_mjera.pdf" TargetMode="External"/><Relationship Id="rId5" Type="http://schemas.openxmlformats.org/officeDocument/2006/relationships/hyperlink" Target="http://os-gkrklec-calinec.skole.hr/natjecaji" TargetMode="External"/><Relationship Id="rId15" Type="http://schemas.openxmlformats.org/officeDocument/2006/relationships/hyperlink" Target="https://www.azoo.hr/images/AZOO/Ravnatelji/Pravilnik_o_izvodenju_izleta_ekskurzija_i_drugih_odgojno-obrazovnih_aktivnosti_izvan_skole_Narodne_novine_broj_67-14.pdf" TargetMode="External"/><Relationship Id="rId10" Type="http://schemas.openxmlformats.org/officeDocument/2006/relationships/hyperlink" Target="https://www.azoo.hr/images/stories/Pravilnik_o_kriterijima_za_izricanje_pedagoskih_mjera_NN_br_94_2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4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Tužno</dc:creator>
  <dc:description/>
  <cp:lastModifiedBy>Admin</cp:lastModifiedBy>
  <cp:revision>6</cp:revision>
  <cp:lastPrinted>2020-02-25T12:05:00Z</cp:lastPrinted>
  <dcterms:created xsi:type="dcterms:W3CDTF">2020-02-25T11:55:00Z</dcterms:created>
  <dcterms:modified xsi:type="dcterms:W3CDTF">2020-02-25T12:31:00Z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